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426</w:t>
      </w:r>
    </w:p>
    <w:p>
      <w:r>
        <w:t>Bundesgericht (BGE), 1969-09-23, DE</w:t>
      </w:r>
    </w:p>
    <w:p>
      <w:r>
        <w:rPr>
          <w:b/>
        </w:rPr>
        <w:t xml:space="preserve">Quelle: </w:t>
      </w:r>
      <w:r>
        <w:t>https://mcp.opencaselaw.ch/entscheid/bge_95 II 426</w:t>
      </w:r>
    </w:p>
    <w:p>
      <w:r>
        <w:t>FR: ATF 95 II 426</w:t>
      </w:r>
    </w:p>
    <w:p>
      <w:r>
        <w:t>IT: DTF 95 II 426</w:t>
      </w:r>
    </w:p>
    <w:p>
      <w:pPr>
        <w:pStyle w:val="Heading2"/>
      </w:pPr>
      <w:r>
        <w:t>Regeste</w:t>
      </w:r>
    </w:p>
    <w:p>
      <w:r>
        <w:t>Regeste Verkehr mit landwirtschaftlichen Grundstücken, Art. 218-218 quater OR. Zivilrechtliche Streitigkeit (Erw. 1). Begriff des landwirtschaftlichen Grundstückes im Sinne des Art. 218 OR; der Entscheid der nach Art. 218 bis zuständigen kantonalen Behörde über den Charakter eines Grundstückes ist für den Zivilrichter nicht verbindlich (Erw. 2). Die Zuweisung eines Grundstückes an einen Erben im Rahmen der Erbteilung ist ein Eigentumserwerb im Sinne des Art. 218 OR; die durch die Erbteilung ausgelöste Sperrfrist für die Veräusserung beginnt erst mit der Eintragung des Eigentums im Grundbuch zu laufen (Erw. 3).</w:t>
      </w:r>
    </w:p>
    <w:p>
      <w:pPr>
        <w:pStyle w:val="Heading2"/>
      </w:pPr>
      <w:r>
        <w:t>Erwägungen</w:t>
      </w:r>
    </w:p>
    <w:p>
      <w:r>
        <w:rPr>
          <w:b/>
        </w:rPr>
        <w:t>E. 1</w:t>
      </w:r>
    </w:p>
    <w:p>
      <w:r>
        <w:t>Der Streit der Parteien darüber, ob die Beklagte zur Erfüllung des mit dem Kläger am 28. April 1965 abgeschlossenen Vertrages verpflichtet sei, ist eine Zivilrechtsstreitigkeit und daher ihrer Natur nach berufungsfähig. Art. 218 quater OR erklärt zwar die Verwaltungsgerichtsbeschwerde als zulässig BGE 95 II 426 S. 429 "gegen letztinstanzliche kantonale Entscheide über die Anwendung der Art. 218, 218 bis und 218 ter", die für die Veräusserung landwirtschaftlicher Grundstücke besondere Vorschriften aufstellen. Diese Bestimmung bezieht sich jedoch, wie in BGE 94 I 412 f. ausführlich dargelegt wurde, nur auf Entscheide kantonaler Verwaltungsbehörden, dagegen nicht auf gerichtliche Urteile in Zivilstreitigkeiten, in denen die Gültigkeit von Rechtsgeschäften über landwirtschaftliche Grundstücke unter dem Gesichtspunkt der hiefür im OR aufgestellten Sondervorschriften zu beurteilen war (vgl. auch BGE 94 II 107 /08).</w:t>
      </w:r>
    </w:p>
    <w:p>
      <w:r>
        <w:rPr>
          <w:b/>
        </w:rPr>
        <w:t>E. 2</w:t>
      </w:r>
    </w:p>
    <w:p>
      <w:r>
        <w:t>Nach Art. 218 Abs. 1 OR dürfen landwirtschaftliche Grundstücke während zehn Jahren, vom Eigentumserwerb an gerechnet, weder als Ganzes noch in Stücken veräussert werden. Dieses Verbot ist jedoch nach Art. 218 Abs. 2 OR nicht anwendbar auf Bauland, auf Grundstücke in vormundschaftlicher Verwaltung und im Falle der Zwangsverwertung. Überdies kann nach Art. 218 bis OR aus wichtigen Gründen die Veräusserung vor Ablauf der Sperrfrist gestattet werden. Nach Art. 218 ter OR sind Geschäfte, die diesen Vorschriften zuwiderlaufen oder ihre Umgehung bezwecken, nichtig und geben kein Recht auf Eintragung in das Grundbuch. Der Kläger behauptet, die Vorinstanz habe zu Unrecht den landwirtschaftlichen Charakter der streitigen Parzellen angenommen, da diese einer Familie keine ausreichende Existenz bieten. a) Die Vorinstanz stellt fest, dass die Parteien nach Abschluss des Vertrages vom 28. April 1965 die kantonale Landwirtschafts- und Forstkommission ersuchten, die Sperrfrist des Art. 218 OR auf die streitigen Parzellen nicht anzuwenden. Die Behörde lehnte jedoch das Gesuch am 21./26. Juli und 30. Dezember 1965 ab. Sie war der Auffassung - ohne es in den fraglichen Entscheiden ausdrücklich zu erwähnen -, dass die beiden Parzellen landwirtschaftliche Grundstücke seien; andernfalls hätte sie auf das Gesuch ja nicht eintreten dürfen. Diese Auffassung ist für den Zivilrichter nicht verbindlich (vgl. Erw. 1). b) Der Kläger verkennt, dass Art. 218 OR von "landwirtschaftlichen Grundstücken" schlechthin spricht und nicht ein "landwirtschaftliches Gewerbe" voraussetzt, das eine wirtschaftliche Einheit bildet und eine ausreichende landwirtschaftliche Existenz bietet, wie dies Art. 620 ZGB für die ungeteilte Zuweisung an einen Miterben verlangt. Daraus folgt, dass für BGE 95 II 426 S. 430 die Anwendung des Veräusserungsverbotes nach Art. 218 OR weder die Grösse, der Wert noch der Ertragswert, sondern einzig die Benutzungsart des Bodens den Ausschlag gibt (vgl. JENNY, Die Sperrfrist im Verkehr mit landwirtschaftlichen Grundstücken in ZBGR 18 [1937] S. 167/68). Art. 1 Abs. 2 der Verordnung über die Verhütung der Überschuldung landwirtschaftlicher Liegenschaften umschreibt daher zutreffend als landwirtschaftliche Liegenschaft jede Bodenfläche, die durch Bewirtschaftung und Ausnützung der natürlichen Kräfte des Bodens den ihr eigenen Wert erhält oder zu einem Betrieb gehört, der in der Hauptsache der Gewinnung und Verwertung organischer Stoffe des Bodens dient. Nach Abs. 2 dieser Vorschrift gelten als landwirtschaftliche Liegenschaften namentlich Grundstücke, die dem Acker-, Wiesen-, Wein-, Mais-, Tabak-, Obst-, Feldgemüse- und Saatgutbau oder der Alpwirtschaft dienen. aa) Das Obergericht stellt fest, die Liegenschaft "Brustried" sei eine 182 a grosse Bergliegenschaft, die relativ gut bewirtschaftet werden könne und einen guten Boden mit Graswuchs aufweise. Der Kläger behauptet nicht, diese Feststellung sei unter Verletzung bundesrechtlicher Beweisvorschriften zustande gekommen oder beruhe offensichtlich auf Versehen. Sie bindet somit das Bundesgericht. Demnach ist davon auszugehen, dass die streitigen Parzellen landwirtschaftlichen Charakter aufweisen. Ob die darauf befindlichen Gebäulichkeiten baufällig sind und sich die Kosten der Instandstellung für das kleine Heimwesen nicht lohnen, wie der Kläger behauptet, ist nach dem Gesagten für die Anwendung der Schutzvorschriften der Art. 218 f. OR unerheblich. bb) Der landwirtschaftliche Charakter eines Grundstückes schliesst seine Eigenschaft als Bauland im Sinne von Art. 218 Abs. 2 OR nicht ohne weiteres aus. Für die Bestimmung des Baulandcharakters kommt es nicht auf die Absichten des Eigentümers oder Erwerbers an; denn sonst hätte es jeder Kaufinteressent in der Hand, mit der blossen Erklärung, er wolle auf dem Grundstück bauen oder es für die Überbauung erschliessen, die Sperrfrist zu umgehen. Massgebend ist einzig, ob das Grundstück nach den objektiven Verhältnissen sofort überbaut werden kann. Diese Voraussetzung ist auch für landwirtschaftliche Grundstücke erfüllt, wenn die für die Erteilung der Baubewilligung zuständige Behörde feststellt, dass der sofortigen Überbauung nichts im Wege stehe. BGE 95 II 426 S. 431 Daraus folgt, dass ein Grundstück sogar dann als Bauland von der Sperrfrist ausgenommen werden muss, wenn es nicht in einer Bauzone liegt, für die der Kanton gestützt auf Art. 3 des Bundesgesetzes über die Erhaltung des bäuerlichen Grundbesitzes (EGG) die Anwendung dieses Gesetzes ausgeschlossen hat (vgl. BGE 92 I 338 /39 Erw. 4). Für den Baulandcharakter ist daher nicht entscheidend, ob das Grundstück an einer Kanalisation angeschlossen ist, sondern ob der Eigentümer Anspruch auf eine Baubewilligung hat. Allerdings kann das Fehlen einer Kanalisation ein Grund sein, dass die zuständige Behörde die Baubewilligung zunächst verweigert (vgl. BGE 93 I 604 ). Die Vorinstanz stellt nicht fest, dass die Voraussetzungen für eine sofortige Überbauung der streitigen Parzellen bestünden. Das behauptet denn auch der Kläger nicht, noch macht er geltend, die zuständige Behörde würde ihm die Bewilligung erteilen, wenn er sie verlangte.</w:t>
      </w:r>
    </w:p>
    <w:p>
      <w:r>
        <w:rPr>
          <w:b/>
        </w:rPr>
        <w:t>E. 3</w:t>
      </w:r>
    </w:p>
    <w:p>
      <w:r>
        <w:t>Ob am 2. Mai 1954 beim Ableben des Kaspar Odermatt eine Sperrfrist im Sinne des Art. 218 OR im Gange war und, wenn ja, ob sie nach dem Tode des Erblassers weiterlief oder ob mit der Eröffnung des Erbganges eine neue zehnjährige Frist begann (vgl. dazu BGE 88 I 202 ) kann dahingestellt bleiben, denn auch diese wäre beim Abschluss des Kauf- und Kaufrechtsvertrages vom 28. April 1965 abgelaufen gewesen. Dagegen fragt es sich, ob der "Abtretungsvertrag" vom 26. April 1957 - entgegen der Auffassung des Klägers - zu einem Eigentumserwerb führte und damit eine neue zehnjährige Frist in Gang setzte. a) Dieser Vertrag hat die Natur eines Erbteilungsvertrages oder muss jedenfalls beim Entscheid der gestellten Frage einem solchen gleichgesetzt werden (JENNY, a.a.O., S. 170). Dass der Erbe, dem ein Grundstück in einer Erbteilung zugewiesen wird, im Sinne der erwähnten Bestimmung Eigentum erwerbe, nehmen KAUFMANN, Das ländliche neue Bodenrecht der Schweiz, S. 217, und GLOOR, Beschränkungen im rechtsgeschäftlichen Verkehr mit landwirtschaftlichen Grundstücken, S. 74, an. Diese Auffassung scheint der Rechtsprechung zu widersprechen, wonach die Erbteilung nicht als "Eigentumsübertragung" im Sinne des Art. 657 ZGB gilt ( BGE 83 II 369 /70). Art. 218 OR erfasst jedoch nicht nur die "Eigentumsübertragung" im Sinne des Art. 657 ZGB , sondern bezieht sich grundsätzlich auf jeden Eigentumserwerb (vgl. die in den BGE 95 II 426 S. 432 Art. 656-662 ZGB erwähnten Arten des Eigentumserwerbes). Die Erbteilung bezweckt die Überführung des Gesamteigentums in das Alleineigentum der einzelnen Erben (TUOR/SCHNYDER, ZGB, 8. Aufl., S. 419; ESCHER, Einleitung zu Art. 602-640 ZGB N. 1). Sie verändert die Eigentumsverhältnisse und damit auch die Verfügungsmacht durch wechselseitige Aufgabe von Gesamtrechten mit nachfolgender Anwachsung (vgl. MEIER/HAYOZ, N. 51 c zu Art. 652 ZGB ; JOST, Der Erbteilungsprozess im schweizerischen Recht, S. 4). Es besteht daher die Möglichkeit, dass sich der Erbe ein im Nachlass befindliches Grundstück gerade im Hinblick auf eine spekulative Weiterveräusserung zuweisen lässt, was dem Zweckgedanken der Sperrfrist widerspricht. Demnach rechtfertigt es sich, die Erbteilung als Eigentumserwerb im Sinne des Art. 218 OR zu betrachten. b) Zu prüfen ist, ob die durch die Erbteilung ausgelöste Sperrfrist schon vom Abschluss des Teilungsvertrages an läuft oder erst vom Tage an, an dem die neuen Eigentumsverhältnisse in das Grundbuch eingetragen werden. Für die zweite Lösung spricht zunächst die Überlegung, dass der Teilungsvertrag nur den Erwerbsgrund bildet, der Erbe aber erst mit der Eintragung im Grundbuch Eigentümer wird (vgl. Art. 18 GBVO; BGE 86 II 353 Erw. 3 b; TUOR/PICENONI, N. 20 zu Art. 654 ZGB ; ESCHER, N. 5 zu Art. 634 ZGB , MEIER/HAYOZ, N. 78 zu Art. 656 ZGB ; JOST, a.a.O., S. 7; HOMBERGER, N. 24 zu Art. 963 ZGB ). Ferner ist zu berücksichtigen, dass sich der Tag des Grundbucheintrages immer feststellen lässt, während der Tag des Teilungsvertrages unter Umständen unsicher ist, da die Erbteilung nur der Schriftform bedarf ( Art. 634 Abs. 2 ZGB ) und diese Datierung nicht verlangt ( Art. 13 OR ; unveröffentlichtes Urteil der I. Zivilabteilung vom 21. Januar 1965 i.S. Interporostom AG gegen Spannplattenwerk Fideris AG) oder das Datum auf einem solchen Vertrag von den Erben versehentlich oder zur Täuschung Dritter unrichtig angegeben sein kann. c) Ist nach dem Gesagten die Eintragung im Grundbuch für den "Eigentumserwerb" im Sinne von Art. 218 OR massgebend, so ist die Sperrfrist am 7. Mai 1967 abgelaufen. Der Kaufvertrag über die Parzelle Nr. 918 wurde am 28. April 1965, somit zwei Jahre vor Ablauf der Sperrfrist abgeschlossen; das Kaufsrecht über die Parzelle 284 wurde ebenfalls am 28. April 1965 vereinbart und seine Ausübung war auf den 28. April 1967 befristet; es wurde indessen am 24. April 1967, also auch vor Ablauf BGE 95 II 426 S. 433 der Sperrfrist ausgeübt. Demnach sind beide Rechtsgeschäfte nichtig (vgl. BGE 94 II 110 Erw. 2 b). Unter diesen Umständen ist die vom Obergericht geprüfte und bejahte Frage nicht zu entscheiden, ob im Sinne von Art. 20 Abs. 2 OR die Nichtigkeit des Kaufvertrages auch jene des Kaufsrechtes nach sich ziehe.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